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新铁公司</w:t>
      </w:r>
      <w:r>
        <w:rPr>
          <w:rFonts w:hint="eastAsia" w:ascii="方正小标宋简体" w:hAnsi="方正小标宋简体" w:eastAsia="方正小标宋简体"/>
          <w:sz w:val="44"/>
          <w:szCs w:val="44"/>
        </w:rPr>
        <w:t>竞聘岗位表</w:t>
      </w:r>
    </w:p>
    <w:p>
      <w:pPr>
        <w:pStyle w:val="4"/>
      </w:pPr>
    </w:p>
    <w:tbl>
      <w:tblPr>
        <w:tblStyle w:val="6"/>
        <w:tblW w:w="14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48"/>
        <w:gridCol w:w="2910"/>
        <w:gridCol w:w="1590"/>
        <w:gridCol w:w="1260"/>
        <w:gridCol w:w="5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4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序号</w:t>
            </w:r>
          </w:p>
        </w:tc>
        <w:tc>
          <w:tcPr>
            <w:tcW w:w="2848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单位</w:t>
            </w:r>
          </w:p>
        </w:tc>
        <w:tc>
          <w:tcPr>
            <w:tcW w:w="2910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岗位名称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岗位层级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岗位数量</w:t>
            </w:r>
          </w:p>
        </w:tc>
        <w:tc>
          <w:tcPr>
            <w:tcW w:w="5425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1</w:t>
            </w:r>
          </w:p>
        </w:tc>
        <w:tc>
          <w:tcPr>
            <w:tcW w:w="284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四川省新铁投资有限公司</w:t>
            </w:r>
          </w:p>
        </w:tc>
        <w:tc>
          <w:tcPr>
            <w:tcW w:w="2910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/>
                <w:lang w:val="en-US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综合办公室主任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中层正职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1</w:t>
            </w:r>
          </w:p>
        </w:tc>
        <w:tc>
          <w:tcPr>
            <w:tcW w:w="5425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</w:rPr>
              <w:t>中共正式党员</w:t>
            </w:r>
            <w:r>
              <w:rPr>
                <w:rFonts w:hint="eastAsia" w:ascii="仿宋_GB2312" w:hAnsi="仿宋_GB2312" w:eastAsia="仿宋_GB2312"/>
                <w:lang w:eastAsia="zh-CN"/>
              </w:rPr>
              <w:t>，应当在公司中层副职岗位或相当职务岗位工作两年及以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上或</w:t>
            </w:r>
            <w:r>
              <w:rPr>
                <w:rFonts w:hint="eastAsia" w:ascii="仿宋_GB2312" w:hAnsi="仿宋_GB2312" w:eastAsia="仿宋_GB2312"/>
              </w:rPr>
              <w:t>现任部门正职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；其他条件详见岗位说明书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2</w:t>
            </w:r>
          </w:p>
        </w:tc>
        <w:tc>
          <w:tcPr>
            <w:tcW w:w="284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四川省新铁投资有限公司</w:t>
            </w:r>
          </w:p>
        </w:tc>
        <w:tc>
          <w:tcPr>
            <w:tcW w:w="291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党群纪检办主任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</w:rPr>
              <w:t>中层正职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</w:rPr>
              <w:t>1</w:t>
            </w:r>
          </w:p>
        </w:tc>
        <w:tc>
          <w:tcPr>
            <w:tcW w:w="5425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</w:rPr>
              <w:t>中共正式党员</w:t>
            </w:r>
            <w:r>
              <w:rPr>
                <w:rFonts w:hint="eastAsia" w:ascii="仿宋_GB2312" w:hAnsi="仿宋_GB2312" w:eastAsia="仿宋_GB2312"/>
                <w:lang w:eastAsia="zh-CN"/>
              </w:rPr>
              <w:t>，应当在公司中层副职岗位或相当职务岗位工作两年及以上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/>
              </w:rPr>
              <w:t>现任部门正职</w:t>
            </w:r>
            <w:r>
              <w:rPr>
                <w:rFonts w:hint="eastAsia" w:ascii="仿宋_GB2312" w:hAnsi="仿宋_GB2312" w:eastAsia="仿宋_GB2312"/>
                <w:lang w:eastAsia="zh-CN"/>
              </w:rPr>
              <w:t>；其他条件详见岗位说明书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3</w:t>
            </w:r>
          </w:p>
        </w:tc>
        <w:tc>
          <w:tcPr>
            <w:tcW w:w="284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四川省新铁投资有限公司</w:t>
            </w:r>
          </w:p>
        </w:tc>
        <w:tc>
          <w:tcPr>
            <w:tcW w:w="2910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/>
                <w:lang w:val="en-US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工程管理部经理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中层正职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1</w:t>
            </w:r>
          </w:p>
        </w:tc>
        <w:tc>
          <w:tcPr>
            <w:tcW w:w="5425" w:type="dxa"/>
            <w:vAlign w:val="center"/>
          </w:tcPr>
          <w:p>
            <w:pPr>
              <w:widowControl w:val="0"/>
              <w:jc w:val="lef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中共正式党员</w:t>
            </w:r>
            <w:r>
              <w:rPr>
                <w:rFonts w:hint="eastAsia" w:ascii="仿宋_GB2312" w:hAnsi="仿宋_GB2312" w:eastAsia="仿宋_GB2312"/>
                <w:lang w:eastAsia="zh-CN"/>
              </w:rPr>
              <w:t>，应当在公司中层副职岗位或相当职务岗位工作两年及以上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/>
              </w:rPr>
              <w:t>现任部门正职</w:t>
            </w:r>
            <w:r>
              <w:rPr>
                <w:rFonts w:hint="eastAsia" w:ascii="仿宋_GB2312" w:hAnsi="仿宋_GB2312" w:eastAsia="仿宋_GB2312"/>
                <w:lang w:eastAsia="zh-CN"/>
              </w:rPr>
              <w:t>；其他条件详见岗位说明书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4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4</w:t>
            </w:r>
          </w:p>
        </w:tc>
        <w:tc>
          <w:tcPr>
            <w:tcW w:w="284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四川省新铁投资有限公司</w:t>
            </w:r>
          </w:p>
        </w:tc>
        <w:tc>
          <w:tcPr>
            <w:tcW w:w="291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财务管理</w:t>
            </w:r>
            <w:r>
              <w:rPr>
                <w:rFonts w:hint="default" w:ascii="仿宋_GB2312" w:hAnsi="仿宋_GB2312" w:eastAsia="仿宋_GB2312"/>
                <w:lang w:val="en-US"/>
              </w:rPr>
              <w:t>部副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经理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中层副职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1</w:t>
            </w:r>
          </w:p>
        </w:tc>
        <w:tc>
          <w:tcPr>
            <w:tcW w:w="5425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</w:rPr>
              <w:t>中共正式党员</w:t>
            </w:r>
            <w:r>
              <w:rPr>
                <w:rFonts w:hint="eastAsia" w:ascii="仿宋_GB2312" w:hAnsi="仿宋_GB2312" w:eastAsia="仿宋_GB2312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highlight w:val="none"/>
                <w:lang w:eastAsia="zh-CN"/>
              </w:rPr>
              <w:t>应当在公司财务部门</w:t>
            </w:r>
            <w:r>
              <w:rPr>
                <w:rFonts w:hint="eastAsia" w:ascii="仿宋_GB2312" w:hAnsi="仿宋_GB2312" w:eastAsia="仿宋_GB2312"/>
                <w:highlight w:val="none"/>
                <w:lang w:val="en-US" w:eastAsia="zh-CN"/>
              </w:rPr>
              <w:t>或相关部门</w:t>
            </w:r>
            <w:r>
              <w:rPr>
                <w:rFonts w:hint="eastAsia" w:ascii="仿宋_GB2312" w:hAnsi="仿宋_GB2312" w:eastAsia="仿宋_GB2312"/>
                <w:highlight w:val="none"/>
                <w:lang w:eastAsia="zh-CN"/>
              </w:rPr>
              <w:t>一般管理岗位工作三年及以上</w:t>
            </w:r>
            <w:r>
              <w:rPr>
                <w:rFonts w:hint="eastAsia" w:ascii="仿宋_GB2312" w:hAnsi="仿宋_GB2312" w:eastAsia="仿宋_GB2312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/>
                <w:highlight w:val="none"/>
              </w:rPr>
              <w:t>现任部门</w:t>
            </w:r>
            <w:r>
              <w:rPr>
                <w:rFonts w:hint="eastAsia" w:ascii="仿宋_GB2312" w:hAnsi="仿宋_GB2312" w:eastAsia="仿宋_GB2312"/>
                <w:highlight w:val="none"/>
                <w:lang w:eastAsia="zh-CN"/>
              </w:rPr>
              <w:t>副职；其他条件详见岗位说明书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4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5</w:t>
            </w:r>
          </w:p>
        </w:tc>
        <w:tc>
          <w:tcPr>
            <w:tcW w:w="284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四川省新铁投资有限公司</w:t>
            </w:r>
          </w:p>
        </w:tc>
        <w:tc>
          <w:tcPr>
            <w:tcW w:w="291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营销开发</w:t>
            </w:r>
            <w:r>
              <w:rPr>
                <w:rFonts w:hint="default" w:ascii="仿宋_GB2312" w:hAnsi="仿宋_GB2312" w:eastAsia="仿宋_GB2312"/>
                <w:lang w:val="en-US"/>
              </w:rPr>
              <w:t>部副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经理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</w:rPr>
              <w:t>中层副职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1</w:t>
            </w:r>
          </w:p>
        </w:tc>
        <w:tc>
          <w:tcPr>
            <w:tcW w:w="5425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highlight w:val="none"/>
                <w:lang w:eastAsia="zh-CN"/>
              </w:rPr>
              <w:t>应当在公司一般管理岗位工作三年及以上</w:t>
            </w:r>
            <w:r>
              <w:rPr>
                <w:rFonts w:hint="eastAsia" w:ascii="仿宋_GB2312" w:hAnsi="仿宋_GB2312" w:eastAsia="仿宋_GB2312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/>
                <w:highlight w:val="none"/>
              </w:rPr>
              <w:t>现任部门</w:t>
            </w:r>
            <w:r>
              <w:rPr>
                <w:rFonts w:hint="eastAsia" w:ascii="仿宋_GB2312" w:hAnsi="仿宋_GB2312" w:eastAsia="仿宋_GB2312"/>
                <w:highlight w:val="none"/>
                <w:lang w:eastAsia="zh-CN"/>
              </w:rPr>
              <w:t>副职；其他条件详见岗位说明书</w:t>
            </w:r>
          </w:p>
        </w:tc>
      </w:tr>
    </w:tbl>
    <w:p>
      <w:pPr>
        <w:rPr>
          <w:rFonts w:hint="eastAsia" w:ascii="仿宋_GB2312" w:hAnsi="仿宋_GB2312" w:eastAsia="仿宋_GB2312"/>
          <w:sz w:val="32"/>
          <w:szCs w:val="32"/>
        </w:rPr>
        <w:sectPr>
          <w:footerReference r:id="rId3" w:type="default"/>
          <w:pgSz w:w="16840" w:h="11907" w:orient="landscape"/>
          <w:pgMar w:top="1247" w:right="1140" w:bottom="1134" w:left="680" w:header="340" w:footer="454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13D83"/>
    <w:rsid w:val="2AE13D83"/>
    <w:rsid w:val="62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1"/>
    <w:basedOn w:val="1"/>
    <w:next w:val="1"/>
    <w:qFormat/>
    <w:uiPriority w:val="0"/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2021-11-10T07:35:00Z</dcterms:created>
  <dc:creator>old burden 阿苏勒</dc:creator>
  <cp:lastModifiedBy>old burden 阿苏勒</cp:lastModifiedBy>
  <dcterms:modified xsi:type="dcterms:W3CDTF">2021-11-12T05:04:00Z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72A3336B10764A8C8D04896B2172AF74</vt:lpwstr>
  </property>
</Properties>
</file>